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00" w:type="dxa"/>
        <w:tblInd w:w="79"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9" w:type="dxa"/>
          <w:right w:w="79" w:type="dxa"/>
        </w:tblCellMar>
        <w:tblLook w:val="0000" w:firstRow="0" w:lastRow="0" w:firstColumn="0" w:lastColumn="0" w:noHBand="0" w:noVBand="0"/>
      </w:tblPr>
      <w:tblGrid>
        <w:gridCol w:w="540"/>
        <w:gridCol w:w="720"/>
        <w:gridCol w:w="3285"/>
        <w:gridCol w:w="3285"/>
        <w:gridCol w:w="3285"/>
        <w:gridCol w:w="3285"/>
      </w:tblGrid>
      <w:tr w:rsidR="007C7965" w:rsidRPr="001E169A" w:rsidTr="007C7965">
        <w:tblPrEx>
          <w:tblCellMar>
            <w:top w:w="0" w:type="dxa"/>
            <w:bottom w:w="0" w:type="dxa"/>
          </w:tblCellMar>
        </w:tblPrEx>
        <w:trPr>
          <w:cantSplit/>
          <w:trHeight w:val="615"/>
          <w:tblHeader/>
        </w:trPr>
        <w:tc>
          <w:tcPr>
            <w:tcW w:w="540" w:type="dxa"/>
            <w:shd w:val="clear" w:color="auto" w:fill="666699"/>
            <w:vAlign w:val="center"/>
          </w:tcPr>
          <w:p w:rsidR="007C7965" w:rsidRPr="001E169A" w:rsidRDefault="007C7965" w:rsidP="00FB0DA7">
            <w:pPr>
              <w:jc w:val="center"/>
              <w:rPr>
                <w:rFonts w:ascii="Arial" w:hAnsi="Arial" w:cs="Arial"/>
                <w:b/>
                <w:color w:val="FFFFFF"/>
              </w:rPr>
            </w:pPr>
            <w:r w:rsidRPr="001E169A">
              <w:rPr>
                <w:rFonts w:ascii="Arial" w:hAnsi="Arial" w:cs="Arial"/>
                <w:b/>
                <w:color w:val="FFFFFF"/>
              </w:rPr>
              <w:t>#</w:t>
            </w:r>
          </w:p>
        </w:tc>
        <w:tc>
          <w:tcPr>
            <w:tcW w:w="720" w:type="dxa"/>
            <w:shd w:val="clear" w:color="auto" w:fill="666699"/>
            <w:vAlign w:val="center"/>
          </w:tcPr>
          <w:p w:rsidR="007C7965" w:rsidRPr="001E169A" w:rsidRDefault="007C7965" w:rsidP="00FB0DA7">
            <w:pPr>
              <w:jc w:val="center"/>
              <w:rPr>
                <w:rFonts w:ascii="Arial" w:hAnsi="Arial" w:cs="Arial"/>
                <w:b/>
                <w:color w:val="FFFFFF"/>
              </w:rPr>
            </w:pPr>
            <w:r w:rsidRPr="001E169A">
              <w:rPr>
                <w:rFonts w:ascii="Arial" w:hAnsi="Arial" w:cs="Arial"/>
                <w:b/>
                <w:color w:val="FFFFFF"/>
              </w:rPr>
              <w:t>WP Ref</w:t>
            </w:r>
          </w:p>
        </w:tc>
        <w:tc>
          <w:tcPr>
            <w:tcW w:w="3285" w:type="dxa"/>
            <w:shd w:val="clear" w:color="auto" w:fill="666699"/>
            <w:vAlign w:val="center"/>
          </w:tcPr>
          <w:p w:rsidR="007C7965" w:rsidRPr="001E169A" w:rsidRDefault="007C7965" w:rsidP="00FB0DA7">
            <w:pPr>
              <w:jc w:val="center"/>
              <w:rPr>
                <w:rFonts w:ascii="Arial" w:hAnsi="Arial" w:cs="Arial"/>
                <w:b/>
                <w:color w:val="FFFFFF"/>
                <w:u w:val="single"/>
              </w:rPr>
            </w:pPr>
            <w:r w:rsidRPr="001E169A">
              <w:rPr>
                <w:rFonts w:ascii="Arial" w:hAnsi="Arial" w:cs="Arial"/>
                <w:b/>
                <w:color w:val="FFFFFF"/>
              </w:rPr>
              <w:t>Observation</w:t>
            </w:r>
          </w:p>
        </w:tc>
        <w:tc>
          <w:tcPr>
            <w:tcW w:w="3285" w:type="dxa"/>
            <w:shd w:val="clear" w:color="auto" w:fill="666699"/>
            <w:vAlign w:val="center"/>
          </w:tcPr>
          <w:p w:rsidR="007C7965" w:rsidRPr="001E169A" w:rsidRDefault="007C7965" w:rsidP="00FB0DA7">
            <w:pPr>
              <w:jc w:val="center"/>
              <w:rPr>
                <w:rFonts w:ascii="Arial" w:hAnsi="Arial" w:cs="Arial"/>
                <w:b/>
                <w:color w:val="FFFFFF"/>
              </w:rPr>
            </w:pPr>
            <w:r w:rsidRPr="001E169A">
              <w:rPr>
                <w:rFonts w:ascii="Arial" w:hAnsi="Arial" w:cs="Arial"/>
                <w:b/>
                <w:color w:val="FFFFFF"/>
              </w:rPr>
              <w:t>Implication / Business Risk</w:t>
            </w:r>
          </w:p>
        </w:tc>
        <w:tc>
          <w:tcPr>
            <w:tcW w:w="3285" w:type="dxa"/>
            <w:shd w:val="clear" w:color="auto" w:fill="666699"/>
            <w:vAlign w:val="center"/>
          </w:tcPr>
          <w:p w:rsidR="007C7965" w:rsidRPr="001E169A" w:rsidRDefault="007C7965" w:rsidP="00FB0DA7">
            <w:pPr>
              <w:ind w:left="-80"/>
              <w:jc w:val="center"/>
              <w:rPr>
                <w:rFonts w:ascii="Arial" w:hAnsi="Arial" w:cs="Arial"/>
                <w:b/>
                <w:color w:val="FFFFFF"/>
              </w:rPr>
            </w:pPr>
            <w:r w:rsidRPr="001E169A">
              <w:rPr>
                <w:rFonts w:ascii="Arial" w:hAnsi="Arial" w:cs="Arial"/>
                <w:b/>
                <w:color w:val="FFFFFF"/>
              </w:rPr>
              <w:t>Recommendation</w:t>
            </w:r>
          </w:p>
        </w:tc>
        <w:tc>
          <w:tcPr>
            <w:tcW w:w="3285" w:type="dxa"/>
            <w:shd w:val="clear" w:color="auto" w:fill="666699"/>
            <w:vAlign w:val="center"/>
          </w:tcPr>
          <w:p w:rsidR="007C7965" w:rsidRPr="001E169A" w:rsidRDefault="007C7965" w:rsidP="00FB0DA7">
            <w:pPr>
              <w:ind w:left="-80"/>
              <w:jc w:val="center"/>
              <w:rPr>
                <w:rFonts w:ascii="Arial" w:hAnsi="Arial" w:cs="Arial"/>
                <w:b/>
                <w:color w:val="FFFFFF"/>
              </w:rPr>
            </w:pPr>
            <w:r>
              <w:rPr>
                <w:rFonts w:ascii="Arial" w:hAnsi="Arial" w:cs="Arial"/>
                <w:b/>
                <w:color w:val="FFFFFF"/>
              </w:rPr>
              <w:t>Management’s Response</w:t>
            </w:r>
          </w:p>
        </w:tc>
      </w:tr>
      <w:tr w:rsidR="007C7965" w:rsidRPr="006E6792" w:rsidTr="007C7965">
        <w:tblPrEx>
          <w:tblBorders>
            <w:top w:val="none" w:sz="0" w:space="0" w:color="auto"/>
            <w:left w:val="none" w:sz="0" w:space="0" w:color="auto"/>
            <w:bottom w:val="none" w:sz="0" w:space="0" w:color="auto"/>
            <w:right w:val="none" w:sz="0" w:space="0" w:color="auto"/>
            <w:insideV w:val="none" w:sz="0" w:space="0" w:color="auto"/>
          </w:tblBorders>
          <w:tblCellMar>
            <w:top w:w="0" w:type="dxa"/>
            <w:bottom w:w="0" w:type="dxa"/>
          </w:tblCellMar>
        </w:tblPrEx>
        <w:trPr>
          <w:cantSplit/>
        </w:trPr>
        <w:tc>
          <w:tcPr>
            <w:tcW w:w="540" w:type="dxa"/>
            <w:tcBorders>
              <w:top w:val="single" w:sz="6" w:space="0" w:color="auto"/>
              <w:left w:val="single" w:sz="6" w:space="0" w:color="auto"/>
              <w:bottom w:val="single" w:sz="6" w:space="0" w:color="auto"/>
              <w:right w:val="single" w:sz="6" w:space="0" w:color="auto"/>
            </w:tcBorders>
          </w:tcPr>
          <w:p w:rsidR="007C7965" w:rsidRPr="001E169A" w:rsidRDefault="007C7965" w:rsidP="00FB0DA7">
            <w:pPr>
              <w:pStyle w:val="Heading2"/>
              <w:numPr>
                <w:ilvl w:val="0"/>
                <w:numId w:val="2"/>
              </w:numPr>
              <w:spacing w:before="0" w:after="0"/>
              <w:jc w:val="both"/>
              <w:rPr>
                <w:rFonts w:cs="Arial"/>
                <w:b w:val="0"/>
              </w:rPr>
            </w:pPr>
          </w:p>
        </w:tc>
        <w:tc>
          <w:tcPr>
            <w:tcW w:w="720" w:type="dxa"/>
            <w:tcBorders>
              <w:top w:val="single" w:sz="6" w:space="0" w:color="auto"/>
              <w:left w:val="single" w:sz="6" w:space="0" w:color="auto"/>
              <w:bottom w:val="single" w:sz="6" w:space="0" w:color="auto"/>
              <w:right w:val="single" w:sz="6" w:space="0" w:color="auto"/>
            </w:tcBorders>
          </w:tcPr>
          <w:p w:rsidR="007C7965" w:rsidRPr="001E169A" w:rsidRDefault="007C7965" w:rsidP="00FB0DA7">
            <w:pPr>
              <w:pStyle w:val="BodyText"/>
              <w:jc w:val="left"/>
              <w:rPr>
                <w:rFonts w:ascii="Arial" w:hAnsi="Arial" w:cs="Arial"/>
                <w:sz w:val="20"/>
                <w:szCs w:val="20"/>
              </w:rPr>
            </w:pPr>
            <w:r w:rsidRPr="001E169A">
              <w:rPr>
                <w:rFonts w:ascii="Arial" w:hAnsi="Arial" w:cs="Arial"/>
                <w:sz w:val="20"/>
                <w:szCs w:val="20"/>
              </w:rPr>
              <w:t>IT260</w:t>
            </w:r>
          </w:p>
        </w:tc>
        <w:tc>
          <w:tcPr>
            <w:tcW w:w="3285" w:type="dxa"/>
            <w:tcBorders>
              <w:top w:val="single" w:sz="6" w:space="0" w:color="auto"/>
              <w:left w:val="single" w:sz="6" w:space="0" w:color="auto"/>
              <w:bottom w:val="single" w:sz="6" w:space="0" w:color="auto"/>
              <w:right w:val="single" w:sz="6" w:space="0" w:color="auto"/>
            </w:tcBorders>
          </w:tcPr>
          <w:p w:rsidR="009437E0" w:rsidRPr="009437E0" w:rsidRDefault="009437E0" w:rsidP="001E169A">
            <w:pPr>
              <w:pStyle w:val="BodyText"/>
              <w:jc w:val="left"/>
              <w:rPr>
                <w:rFonts w:ascii="Arial" w:hAnsi="Arial" w:cs="Arial"/>
                <w:b/>
                <w:sz w:val="20"/>
                <w:szCs w:val="20"/>
              </w:rPr>
            </w:pPr>
            <w:r>
              <w:rPr>
                <w:rFonts w:ascii="Arial" w:hAnsi="Arial" w:cs="Arial"/>
                <w:b/>
                <w:sz w:val="20"/>
                <w:szCs w:val="20"/>
              </w:rPr>
              <w:t>Missing Access Request Documentation</w:t>
            </w:r>
          </w:p>
          <w:p w:rsidR="007F4CCC" w:rsidRDefault="007F4CCC" w:rsidP="001E169A">
            <w:pPr>
              <w:pStyle w:val="BodyText"/>
              <w:jc w:val="left"/>
              <w:rPr>
                <w:rFonts w:ascii="Arial" w:hAnsi="Arial" w:cs="Arial"/>
                <w:sz w:val="20"/>
                <w:szCs w:val="20"/>
              </w:rPr>
            </w:pPr>
          </w:p>
          <w:p w:rsidR="007C7965" w:rsidRDefault="007C7965" w:rsidP="001E169A">
            <w:pPr>
              <w:pStyle w:val="BodyText"/>
              <w:jc w:val="left"/>
              <w:rPr>
                <w:rFonts w:ascii="Arial" w:hAnsi="Arial" w:cs="Arial"/>
                <w:sz w:val="20"/>
                <w:szCs w:val="20"/>
              </w:rPr>
            </w:pPr>
            <w:r>
              <w:rPr>
                <w:rFonts w:ascii="Arial" w:hAnsi="Arial" w:cs="Arial"/>
                <w:sz w:val="20"/>
                <w:szCs w:val="20"/>
              </w:rPr>
              <w:t>1 of 15 users selected did not have an</w:t>
            </w:r>
            <w:r w:rsidRPr="001E169A">
              <w:rPr>
                <w:rFonts w:ascii="Arial" w:hAnsi="Arial" w:cs="Arial"/>
                <w:sz w:val="20"/>
                <w:szCs w:val="20"/>
              </w:rPr>
              <w:t xml:space="preserve"> </w:t>
            </w:r>
            <w:r>
              <w:rPr>
                <w:rFonts w:ascii="Arial" w:hAnsi="Arial" w:cs="Arial"/>
                <w:sz w:val="20"/>
                <w:szCs w:val="20"/>
              </w:rPr>
              <w:t>access request form with</w:t>
            </w:r>
            <w:r w:rsidRPr="001E169A">
              <w:rPr>
                <w:rFonts w:ascii="Arial" w:hAnsi="Arial" w:cs="Arial"/>
                <w:sz w:val="20"/>
                <w:szCs w:val="20"/>
              </w:rPr>
              <w:t xml:space="preserve"> signed approval.  </w:t>
            </w:r>
          </w:p>
          <w:p w:rsidR="007C7965" w:rsidRDefault="007C7965" w:rsidP="001E169A">
            <w:pPr>
              <w:pStyle w:val="BodyText"/>
              <w:jc w:val="left"/>
              <w:rPr>
                <w:rFonts w:ascii="Arial" w:hAnsi="Arial" w:cs="Arial"/>
                <w:sz w:val="20"/>
                <w:szCs w:val="20"/>
              </w:rPr>
            </w:pPr>
          </w:p>
          <w:p w:rsidR="007C7965" w:rsidRPr="001E169A" w:rsidRDefault="007C7965" w:rsidP="001E169A">
            <w:pPr>
              <w:pStyle w:val="BodyText"/>
              <w:jc w:val="left"/>
              <w:rPr>
                <w:rFonts w:ascii="Arial" w:hAnsi="Arial" w:cs="Arial"/>
                <w:sz w:val="20"/>
                <w:szCs w:val="20"/>
              </w:rPr>
            </w:pPr>
          </w:p>
        </w:tc>
        <w:tc>
          <w:tcPr>
            <w:tcW w:w="3285" w:type="dxa"/>
            <w:tcBorders>
              <w:top w:val="single" w:sz="6" w:space="0" w:color="auto"/>
              <w:left w:val="single" w:sz="6" w:space="0" w:color="auto"/>
              <w:bottom w:val="single" w:sz="6" w:space="0" w:color="auto"/>
              <w:right w:val="single" w:sz="6" w:space="0" w:color="auto"/>
            </w:tcBorders>
          </w:tcPr>
          <w:p w:rsidR="007C7965" w:rsidRDefault="007C7965" w:rsidP="001E169A">
            <w:pPr>
              <w:rPr>
                <w:rFonts w:ascii="Arial" w:hAnsi="Arial" w:cs="Arial"/>
              </w:rPr>
            </w:pPr>
            <w:r>
              <w:rPr>
                <w:rFonts w:ascii="Arial" w:hAnsi="Arial" w:cs="Arial"/>
              </w:rPr>
              <w:t xml:space="preserve">Consistent use of documentation is important in enabling management to monitor the operational effectiveness of controls, especially in the event of attrition or turnover at the administrator position.  </w:t>
            </w:r>
          </w:p>
          <w:p w:rsidR="007C7965" w:rsidRDefault="007C7965" w:rsidP="001E169A">
            <w:pPr>
              <w:rPr>
                <w:rFonts w:ascii="Arial" w:hAnsi="Arial" w:cs="Arial"/>
              </w:rPr>
            </w:pPr>
          </w:p>
          <w:p w:rsidR="007C7965" w:rsidRDefault="007C7965" w:rsidP="001E169A">
            <w:pPr>
              <w:rPr>
                <w:rFonts w:ascii="Arial" w:hAnsi="Arial" w:cs="Arial"/>
              </w:rPr>
            </w:pPr>
            <w:r>
              <w:rPr>
                <w:rFonts w:ascii="Arial" w:hAnsi="Arial" w:cs="Arial"/>
              </w:rPr>
              <w:t>If the provisioning administrator were to leave the organization, the request and approval documentation would no longer be available, preventing management from being able to monitor the appropriateness of user access.</w:t>
            </w:r>
          </w:p>
          <w:p w:rsidR="007C7965" w:rsidRPr="001E169A" w:rsidRDefault="007C7965" w:rsidP="001E169A">
            <w:pPr>
              <w:rPr>
                <w:rFonts w:ascii="Arial" w:hAnsi="Arial" w:cs="Arial"/>
              </w:rPr>
            </w:pPr>
          </w:p>
        </w:tc>
        <w:tc>
          <w:tcPr>
            <w:tcW w:w="3285" w:type="dxa"/>
            <w:tcBorders>
              <w:top w:val="single" w:sz="6" w:space="0" w:color="auto"/>
              <w:left w:val="single" w:sz="6" w:space="0" w:color="auto"/>
              <w:bottom w:val="single" w:sz="6" w:space="0" w:color="auto"/>
              <w:right w:val="single" w:sz="6" w:space="0" w:color="auto"/>
            </w:tcBorders>
          </w:tcPr>
          <w:p w:rsidR="007C7965" w:rsidRPr="001E169A" w:rsidRDefault="007C7965" w:rsidP="007C7965">
            <w:pPr>
              <w:rPr>
                <w:rFonts w:ascii="Arial" w:hAnsi="Arial" w:cs="Arial"/>
              </w:rPr>
            </w:pPr>
            <w:r>
              <w:rPr>
                <w:rFonts w:ascii="Arial" w:hAnsi="Arial" w:cs="Arial"/>
              </w:rPr>
              <w:t>Ensure access request forms are used for all access requests.</w:t>
            </w:r>
          </w:p>
        </w:tc>
        <w:tc>
          <w:tcPr>
            <w:tcW w:w="3285" w:type="dxa"/>
            <w:tcBorders>
              <w:top w:val="single" w:sz="6" w:space="0" w:color="auto"/>
              <w:left w:val="single" w:sz="6" w:space="0" w:color="auto"/>
              <w:bottom w:val="single" w:sz="6" w:space="0" w:color="auto"/>
              <w:right w:val="single" w:sz="6" w:space="0" w:color="auto"/>
            </w:tcBorders>
          </w:tcPr>
          <w:p w:rsidR="007C7965" w:rsidRDefault="007C7965" w:rsidP="007C7965">
            <w:pPr>
              <w:rPr>
                <w:rFonts w:ascii="Arial" w:hAnsi="Arial" w:cs="Arial"/>
              </w:rPr>
            </w:pPr>
            <w:r>
              <w:rPr>
                <w:rFonts w:ascii="Arial" w:hAnsi="Arial" w:cs="Arial"/>
              </w:rPr>
              <w:t>We will have updated our user access provisioning policy and reviewed it with the APS Administrators, ensuring they are aware that all access requests must be submitted and approved in writing before provisioning new accounts going forward, regardless of the access being requested.</w:t>
            </w:r>
          </w:p>
        </w:tc>
      </w:tr>
      <w:tr w:rsidR="005821F0" w:rsidRPr="006E6792" w:rsidTr="007C7965">
        <w:tblPrEx>
          <w:tblBorders>
            <w:top w:val="none" w:sz="0" w:space="0" w:color="auto"/>
            <w:left w:val="none" w:sz="0" w:space="0" w:color="auto"/>
            <w:bottom w:val="none" w:sz="0" w:space="0" w:color="auto"/>
            <w:right w:val="none" w:sz="0" w:space="0" w:color="auto"/>
            <w:insideV w:val="none" w:sz="0" w:space="0" w:color="auto"/>
          </w:tblBorders>
          <w:tblCellMar>
            <w:top w:w="0" w:type="dxa"/>
            <w:bottom w:w="0" w:type="dxa"/>
          </w:tblCellMar>
        </w:tblPrEx>
        <w:trPr>
          <w:cantSplit/>
        </w:trPr>
        <w:tc>
          <w:tcPr>
            <w:tcW w:w="540" w:type="dxa"/>
            <w:tcBorders>
              <w:top w:val="single" w:sz="6" w:space="0" w:color="auto"/>
              <w:left w:val="single" w:sz="6" w:space="0" w:color="auto"/>
              <w:bottom w:val="single" w:sz="6" w:space="0" w:color="auto"/>
              <w:right w:val="single" w:sz="6" w:space="0" w:color="auto"/>
            </w:tcBorders>
          </w:tcPr>
          <w:p w:rsidR="005821F0" w:rsidRPr="001E169A" w:rsidRDefault="005821F0" w:rsidP="00FB0DA7">
            <w:pPr>
              <w:pStyle w:val="Heading2"/>
              <w:numPr>
                <w:ilvl w:val="0"/>
                <w:numId w:val="2"/>
              </w:numPr>
              <w:spacing w:before="0" w:after="0"/>
              <w:jc w:val="both"/>
              <w:rPr>
                <w:rFonts w:cs="Arial"/>
                <w:b w:val="0"/>
              </w:rPr>
            </w:pPr>
          </w:p>
        </w:tc>
        <w:tc>
          <w:tcPr>
            <w:tcW w:w="720" w:type="dxa"/>
            <w:tcBorders>
              <w:top w:val="single" w:sz="6" w:space="0" w:color="auto"/>
              <w:left w:val="single" w:sz="6" w:space="0" w:color="auto"/>
              <w:bottom w:val="single" w:sz="6" w:space="0" w:color="auto"/>
              <w:right w:val="single" w:sz="6" w:space="0" w:color="auto"/>
            </w:tcBorders>
          </w:tcPr>
          <w:p w:rsidR="005821F0" w:rsidRPr="001E169A" w:rsidRDefault="005821F0" w:rsidP="00FB0DA7">
            <w:pPr>
              <w:pStyle w:val="BodyText"/>
              <w:jc w:val="left"/>
              <w:rPr>
                <w:rFonts w:ascii="Arial" w:hAnsi="Arial" w:cs="Arial"/>
                <w:sz w:val="20"/>
                <w:szCs w:val="20"/>
              </w:rPr>
            </w:pPr>
            <w:r>
              <w:rPr>
                <w:rFonts w:ascii="Arial" w:hAnsi="Arial" w:cs="Arial"/>
                <w:sz w:val="20"/>
                <w:szCs w:val="20"/>
              </w:rPr>
              <w:t>ITxxx</w:t>
            </w:r>
          </w:p>
        </w:tc>
        <w:tc>
          <w:tcPr>
            <w:tcW w:w="3285" w:type="dxa"/>
            <w:tcBorders>
              <w:top w:val="single" w:sz="6" w:space="0" w:color="auto"/>
              <w:left w:val="single" w:sz="6" w:space="0" w:color="auto"/>
              <w:bottom w:val="single" w:sz="6" w:space="0" w:color="auto"/>
              <w:right w:val="single" w:sz="6" w:space="0" w:color="auto"/>
            </w:tcBorders>
          </w:tcPr>
          <w:p w:rsidR="009437E0" w:rsidRPr="009437E0" w:rsidRDefault="009437E0" w:rsidP="005821F0">
            <w:pPr>
              <w:pStyle w:val="BodyText"/>
              <w:jc w:val="left"/>
              <w:rPr>
                <w:rFonts w:ascii="Arial" w:hAnsi="Arial" w:cs="Arial"/>
                <w:b/>
                <w:sz w:val="20"/>
                <w:szCs w:val="20"/>
              </w:rPr>
            </w:pPr>
            <w:r>
              <w:rPr>
                <w:rFonts w:ascii="Arial" w:hAnsi="Arial" w:cs="Arial"/>
                <w:b/>
                <w:sz w:val="20"/>
                <w:szCs w:val="20"/>
              </w:rPr>
              <w:t>Informal Policies &amp; Procedures</w:t>
            </w:r>
          </w:p>
          <w:p w:rsidR="007F4CCC" w:rsidRDefault="007F4CCC" w:rsidP="005821F0">
            <w:pPr>
              <w:pStyle w:val="BodyText"/>
              <w:jc w:val="left"/>
              <w:rPr>
                <w:rFonts w:ascii="Arial" w:hAnsi="Arial" w:cs="Arial"/>
                <w:sz w:val="20"/>
                <w:szCs w:val="20"/>
              </w:rPr>
            </w:pPr>
          </w:p>
          <w:p w:rsidR="005821F0" w:rsidRPr="005821F0" w:rsidRDefault="005821F0" w:rsidP="005821F0">
            <w:pPr>
              <w:pStyle w:val="BodyText"/>
              <w:jc w:val="left"/>
              <w:rPr>
                <w:rFonts w:ascii="Arial" w:hAnsi="Arial" w:cs="Arial"/>
                <w:sz w:val="20"/>
                <w:szCs w:val="20"/>
              </w:rPr>
            </w:pPr>
            <w:r w:rsidRPr="005821F0">
              <w:rPr>
                <w:rFonts w:ascii="Arial" w:hAnsi="Arial" w:cs="Arial"/>
                <w:sz w:val="20"/>
                <w:szCs w:val="20"/>
              </w:rPr>
              <w:t xml:space="preserve">Policies and procedures for user administration and program change management on the Oracle Financials application are not formally documented. </w:t>
            </w:r>
          </w:p>
        </w:tc>
        <w:tc>
          <w:tcPr>
            <w:tcW w:w="3285" w:type="dxa"/>
            <w:tcBorders>
              <w:top w:val="single" w:sz="6" w:space="0" w:color="auto"/>
              <w:left w:val="single" w:sz="6" w:space="0" w:color="auto"/>
              <w:bottom w:val="single" w:sz="6" w:space="0" w:color="auto"/>
              <w:right w:val="single" w:sz="6" w:space="0" w:color="auto"/>
            </w:tcBorders>
          </w:tcPr>
          <w:p w:rsidR="005821F0" w:rsidRPr="005821F0" w:rsidRDefault="005821F0" w:rsidP="005821F0">
            <w:pPr>
              <w:rPr>
                <w:rFonts w:ascii="Arial" w:hAnsi="Arial" w:cs="Arial"/>
              </w:rPr>
            </w:pPr>
            <w:r w:rsidRPr="005821F0">
              <w:rPr>
                <w:rFonts w:ascii="Arial" w:hAnsi="Arial" w:cs="Arial"/>
              </w:rPr>
              <w:t xml:space="preserve">Formal policy and procedure documentation is necessary to capture institutional knowledge, to help ensure that all critical functions of the IT operations are completed, and to help ensure that the Company’s networks and systems are used appropriately by their employees.  A lack of documented security standards can lead to inconsistent administration, unclear lines of authority and responsibility for security, and the lack of continuity in the event of staff turnover. </w:t>
            </w:r>
          </w:p>
          <w:p w:rsidR="005821F0" w:rsidRPr="005821F0" w:rsidRDefault="005821F0" w:rsidP="005821F0">
            <w:pPr>
              <w:rPr>
                <w:rFonts w:ascii="Arial" w:hAnsi="Arial" w:cs="Arial"/>
              </w:rPr>
            </w:pPr>
          </w:p>
          <w:p w:rsidR="005821F0" w:rsidRDefault="005821F0" w:rsidP="005821F0">
            <w:pPr>
              <w:rPr>
                <w:rFonts w:ascii="Arial" w:hAnsi="Arial" w:cs="Arial"/>
              </w:rPr>
            </w:pPr>
            <w:r w:rsidRPr="005821F0">
              <w:rPr>
                <w:rFonts w:ascii="Arial" w:hAnsi="Arial" w:cs="Arial"/>
              </w:rPr>
              <w:t>An informal program change management process increases the risk of unauthorized and/or untested changes being migrated to the production environment, which may alter the effectiveness of programmed accounting controls, cause data corruption, or result in systems failure.  Additionally, an informal user administration process increases the risk that unauthorized users may access the Oracle application, enter inaccurate financial data, or remove existing data.  Any of these effects could cause material errors in the financial statements.</w:t>
            </w:r>
          </w:p>
          <w:p w:rsidR="005821F0" w:rsidRPr="005821F0" w:rsidRDefault="005821F0" w:rsidP="005821F0">
            <w:pPr>
              <w:rPr>
                <w:rFonts w:ascii="Arial" w:hAnsi="Arial" w:cs="Arial"/>
              </w:rPr>
            </w:pPr>
          </w:p>
        </w:tc>
        <w:tc>
          <w:tcPr>
            <w:tcW w:w="3285" w:type="dxa"/>
            <w:tcBorders>
              <w:top w:val="single" w:sz="6" w:space="0" w:color="auto"/>
              <w:left w:val="single" w:sz="6" w:space="0" w:color="auto"/>
              <w:bottom w:val="single" w:sz="6" w:space="0" w:color="auto"/>
              <w:right w:val="single" w:sz="6" w:space="0" w:color="auto"/>
            </w:tcBorders>
          </w:tcPr>
          <w:p w:rsidR="005821F0" w:rsidRPr="005821F0" w:rsidRDefault="005821F0" w:rsidP="005821F0">
            <w:pPr>
              <w:rPr>
                <w:rFonts w:ascii="Arial" w:hAnsi="Arial" w:cs="Arial"/>
                <w:snapToGrid w:val="0"/>
              </w:rPr>
            </w:pPr>
            <w:r w:rsidRPr="005821F0">
              <w:rPr>
                <w:rFonts w:ascii="Arial" w:hAnsi="Arial" w:cs="Arial"/>
                <w:snapToGrid w:val="0"/>
              </w:rPr>
              <w:t xml:space="preserve">Formally document user administration and program change policies and procedures for Oracle Financials.  The documented policies should be distributed to employees responsible for performing the processes. </w:t>
            </w:r>
          </w:p>
          <w:p w:rsidR="005821F0" w:rsidRPr="005821F0" w:rsidRDefault="005821F0" w:rsidP="005821F0">
            <w:pPr>
              <w:rPr>
                <w:rFonts w:ascii="Arial" w:hAnsi="Arial" w:cs="Arial"/>
                <w:snapToGrid w:val="0"/>
              </w:rPr>
            </w:pPr>
          </w:p>
          <w:p w:rsidR="005821F0" w:rsidRPr="005821F0" w:rsidRDefault="005821F0" w:rsidP="005821F0">
            <w:pPr>
              <w:rPr>
                <w:rFonts w:ascii="Arial" w:hAnsi="Arial" w:cs="Arial"/>
              </w:rPr>
            </w:pPr>
            <w:r w:rsidRPr="005821F0">
              <w:rPr>
                <w:rFonts w:ascii="Arial" w:hAnsi="Arial" w:cs="Arial"/>
                <w:snapToGrid w:val="0"/>
              </w:rPr>
              <w:t>Also ensure that the policies and procedures provide for the creation and retention of documentation supporting the application of user access and change management controls to aid management in monitoring the effectiveness of their internal control environment on a regular basis.</w:t>
            </w:r>
          </w:p>
        </w:tc>
        <w:tc>
          <w:tcPr>
            <w:tcW w:w="3285" w:type="dxa"/>
            <w:tcBorders>
              <w:top w:val="single" w:sz="6" w:space="0" w:color="auto"/>
              <w:left w:val="single" w:sz="6" w:space="0" w:color="auto"/>
              <w:bottom w:val="single" w:sz="6" w:space="0" w:color="auto"/>
              <w:right w:val="single" w:sz="6" w:space="0" w:color="auto"/>
            </w:tcBorders>
          </w:tcPr>
          <w:p w:rsidR="005821F0" w:rsidRDefault="005821F0" w:rsidP="007C7965">
            <w:pPr>
              <w:rPr>
                <w:rFonts w:ascii="Arial" w:hAnsi="Arial" w:cs="Arial"/>
              </w:rPr>
            </w:pPr>
          </w:p>
        </w:tc>
      </w:tr>
      <w:tr w:rsidR="009437E0" w:rsidRPr="006E6792" w:rsidTr="007C7965">
        <w:tblPrEx>
          <w:tblBorders>
            <w:top w:val="none" w:sz="0" w:space="0" w:color="auto"/>
            <w:left w:val="none" w:sz="0" w:space="0" w:color="auto"/>
            <w:bottom w:val="none" w:sz="0" w:space="0" w:color="auto"/>
            <w:right w:val="none" w:sz="0" w:space="0" w:color="auto"/>
            <w:insideV w:val="none" w:sz="0" w:space="0" w:color="auto"/>
          </w:tblBorders>
          <w:tblCellMar>
            <w:top w:w="0" w:type="dxa"/>
            <w:bottom w:w="0" w:type="dxa"/>
          </w:tblCellMar>
        </w:tblPrEx>
        <w:trPr>
          <w:cantSplit/>
        </w:trPr>
        <w:tc>
          <w:tcPr>
            <w:tcW w:w="540" w:type="dxa"/>
            <w:tcBorders>
              <w:top w:val="single" w:sz="6" w:space="0" w:color="auto"/>
              <w:left w:val="single" w:sz="6" w:space="0" w:color="auto"/>
              <w:bottom w:val="single" w:sz="6" w:space="0" w:color="auto"/>
              <w:right w:val="single" w:sz="6" w:space="0" w:color="auto"/>
            </w:tcBorders>
          </w:tcPr>
          <w:p w:rsidR="009437E0" w:rsidRPr="001E169A" w:rsidRDefault="009437E0" w:rsidP="00FB0DA7">
            <w:pPr>
              <w:pStyle w:val="Heading2"/>
              <w:numPr>
                <w:ilvl w:val="0"/>
                <w:numId w:val="2"/>
              </w:numPr>
              <w:spacing w:before="0" w:after="0"/>
              <w:jc w:val="both"/>
              <w:rPr>
                <w:rFonts w:cs="Arial"/>
                <w:b w:val="0"/>
              </w:rPr>
            </w:pPr>
          </w:p>
        </w:tc>
        <w:tc>
          <w:tcPr>
            <w:tcW w:w="720" w:type="dxa"/>
            <w:tcBorders>
              <w:top w:val="single" w:sz="6" w:space="0" w:color="auto"/>
              <w:left w:val="single" w:sz="6" w:space="0" w:color="auto"/>
              <w:bottom w:val="single" w:sz="6" w:space="0" w:color="auto"/>
              <w:right w:val="single" w:sz="6" w:space="0" w:color="auto"/>
            </w:tcBorders>
          </w:tcPr>
          <w:p w:rsidR="009437E0" w:rsidRDefault="009437E0" w:rsidP="00FB0DA7">
            <w:pPr>
              <w:pStyle w:val="BodyText"/>
              <w:jc w:val="left"/>
              <w:rPr>
                <w:rFonts w:ascii="Arial" w:hAnsi="Arial" w:cs="Arial"/>
                <w:sz w:val="20"/>
                <w:szCs w:val="20"/>
              </w:rPr>
            </w:pPr>
            <w:r>
              <w:rPr>
                <w:rFonts w:ascii="Arial" w:hAnsi="Arial" w:cs="Arial"/>
                <w:sz w:val="20"/>
                <w:szCs w:val="20"/>
              </w:rPr>
              <w:t>ITxxx</w:t>
            </w:r>
          </w:p>
        </w:tc>
        <w:tc>
          <w:tcPr>
            <w:tcW w:w="3285" w:type="dxa"/>
            <w:tcBorders>
              <w:top w:val="single" w:sz="6" w:space="0" w:color="auto"/>
              <w:left w:val="single" w:sz="6" w:space="0" w:color="auto"/>
              <w:bottom w:val="single" w:sz="6" w:space="0" w:color="auto"/>
              <w:right w:val="single" w:sz="6" w:space="0" w:color="auto"/>
            </w:tcBorders>
          </w:tcPr>
          <w:p w:rsidR="009437E0" w:rsidRPr="009437E0" w:rsidRDefault="009437E0" w:rsidP="009437E0">
            <w:pPr>
              <w:pStyle w:val="Heading1"/>
              <w:numPr>
                <w:ilvl w:val="0"/>
                <w:numId w:val="0"/>
              </w:numPr>
              <w:spacing w:before="0" w:after="0"/>
              <w:rPr>
                <w:rFonts w:cs="Arial"/>
                <w:sz w:val="20"/>
              </w:rPr>
            </w:pPr>
            <w:r w:rsidRPr="009437E0">
              <w:rPr>
                <w:rFonts w:cs="Arial"/>
                <w:sz w:val="20"/>
              </w:rPr>
              <w:t>IT Segregation of Duties</w:t>
            </w:r>
          </w:p>
          <w:p w:rsidR="007F4CCC" w:rsidRDefault="007F4CCC" w:rsidP="009437E0">
            <w:pPr>
              <w:rPr>
                <w:rFonts w:ascii="Arial" w:hAnsi="Arial" w:cs="Arial"/>
              </w:rPr>
            </w:pPr>
          </w:p>
          <w:p w:rsidR="009437E0" w:rsidRPr="009437E0" w:rsidRDefault="009437E0" w:rsidP="009437E0">
            <w:pPr>
              <w:rPr>
                <w:rFonts w:ascii="Arial" w:hAnsi="Arial" w:cs="Arial"/>
              </w:rPr>
            </w:pPr>
            <w:r w:rsidRPr="009437E0">
              <w:rPr>
                <w:rFonts w:ascii="Arial" w:hAnsi="Arial" w:cs="Arial"/>
              </w:rPr>
              <w:t xml:space="preserve">Developers and analysts have write-access to the production environment. </w:t>
            </w:r>
          </w:p>
          <w:p w:rsidR="009437E0" w:rsidRPr="009437E0" w:rsidRDefault="009437E0" w:rsidP="009437E0">
            <w:pPr>
              <w:rPr>
                <w:rFonts w:ascii="Arial" w:hAnsi="Arial" w:cs="Arial"/>
              </w:rPr>
            </w:pPr>
          </w:p>
          <w:p w:rsidR="009437E0" w:rsidRPr="009437E0" w:rsidRDefault="009437E0" w:rsidP="009437E0">
            <w:pPr>
              <w:rPr>
                <w:rFonts w:ascii="Arial" w:hAnsi="Arial" w:cs="Arial"/>
              </w:rPr>
            </w:pPr>
            <w:r w:rsidRPr="009437E0">
              <w:rPr>
                <w:rFonts w:ascii="Arial" w:hAnsi="Arial" w:cs="Arial"/>
              </w:rPr>
              <w:t>There is no formal documentation of change requests, user acceptance, or test results.</w:t>
            </w:r>
          </w:p>
          <w:p w:rsidR="009437E0" w:rsidRPr="009437E0" w:rsidRDefault="009437E0" w:rsidP="009437E0">
            <w:pPr>
              <w:rPr>
                <w:rFonts w:ascii="Arial" w:hAnsi="Arial" w:cs="Arial"/>
              </w:rPr>
            </w:pPr>
          </w:p>
        </w:tc>
        <w:tc>
          <w:tcPr>
            <w:tcW w:w="3285" w:type="dxa"/>
            <w:tcBorders>
              <w:top w:val="single" w:sz="6" w:space="0" w:color="auto"/>
              <w:left w:val="single" w:sz="6" w:space="0" w:color="auto"/>
              <w:bottom w:val="single" w:sz="6" w:space="0" w:color="auto"/>
              <w:right w:val="single" w:sz="6" w:space="0" w:color="auto"/>
            </w:tcBorders>
          </w:tcPr>
          <w:p w:rsidR="009437E0" w:rsidRPr="009437E0" w:rsidRDefault="009437E0" w:rsidP="00125969">
            <w:pPr>
              <w:rPr>
                <w:rFonts w:ascii="Arial" w:hAnsi="Arial" w:cs="Arial"/>
              </w:rPr>
            </w:pPr>
            <w:r w:rsidRPr="009437E0">
              <w:rPr>
                <w:rFonts w:ascii="Arial" w:hAnsi="Arial" w:cs="Arial"/>
              </w:rPr>
              <w:t>A strong System Development Life-Cycle (SDLC) includes steps to ensure that each change is evaluated, authorized by appropriate levels of management, prioritized, and re-prioritized on a regular basis</w:t>
            </w:r>
            <w:r>
              <w:rPr>
                <w:rFonts w:ascii="Arial" w:hAnsi="Arial" w:cs="Arial"/>
              </w:rPr>
              <w:t xml:space="preserve">, </w:t>
            </w:r>
            <w:r w:rsidRPr="009437E0">
              <w:rPr>
                <w:rFonts w:ascii="Arial" w:hAnsi="Arial" w:cs="Arial"/>
              </w:rPr>
              <w:t>ensur</w:t>
            </w:r>
            <w:r>
              <w:rPr>
                <w:rFonts w:ascii="Arial" w:hAnsi="Arial" w:cs="Arial"/>
              </w:rPr>
              <w:t>ing</w:t>
            </w:r>
            <w:r w:rsidRPr="009437E0">
              <w:rPr>
                <w:rFonts w:ascii="Arial" w:hAnsi="Arial" w:cs="Arial"/>
              </w:rPr>
              <w:t xml:space="preserve"> IT resources are appropriately allocated.</w:t>
            </w:r>
          </w:p>
          <w:p w:rsidR="009437E0" w:rsidRPr="009437E0" w:rsidRDefault="009437E0" w:rsidP="00125969">
            <w:pPr>
              <w:rPr>
                <w:rFonts w:ascii="Arial" w:hAnsi="Arial" w:cs="Arial"/>
              </w:rPr>
            </w:pPr>
          </w:p>
          <w:p w:rsidR="009437E0" w:rsidRPr="009437E0" w:rsidRDefault="009437E0" w:rsidP="00125969">
            <w:pPr>
              <w:rPr>
                <w:rFonts w:ascii="Arial" w:hAnsi="Arial" w:cs="Arial"/>
              </w:rPr>
            </w:pPr>
            <w:r w:rsidRPr="009437E0">
              <w:rPr>
                <w:rFonts w:ascii="Arial" w:hAnsi="Arial" w:cs="Arial"/>
              </w:rPr>
              <w:t>A strong SDLC also includes steps for adequate levels of testing of program changes in a separate environment before moving them into the production environment</w:t>
            </w:r>
            <w:r>
              <w:rPr>
                <w:rFonts w:ascii="Arial" w:hAnsi="Arial" w:cs="Arial"/>
              </w:rPr>
              <w:t>, ensuring</w:t>
            </w:r>
            <w:r w:rsidRPr="009437E0">
              <w:rPr>
                <w:rFonts w:ascii="Arial" w:hAnsi="Arial" w:cs="Arial"/>
              </w:rPr>
              <w:t xml:space="preserve"> changes do not have adverse effects to the application and the overall IT environment. </w:t>
            </w:r>
          </w:p>
          <w:p w:rsidR="009437E0" w:rsidRPr="009437E0" w:rsidRDefault="009437E0" w:rsidP="00125969">
            <w:pPr>
              <w:rPr>
                <w:rFonts w:ascii="Arial" w:hAnsi="Arial" w:cs="Arial"/>
              </w:rPr>
            </w:pPr>
          </w:p>
          <w:p w:rsidR="009437E0" w:rsidRDefault="009437E0" w:rsidP="00125969">
            <w:pPr>
              <w:rPr>
                <w:rFonts w:ascii="Arial" w:hAnsi="Arial" w:cs="Arial"/>
              </w:rPr>
            </w:pPr>
            <w:r w:rsidRPr="009437E0">
              <w:rPr>
                <w:rFonts w:ascii="Arial" w:hAnsi="Arial" w:cs="Arial"/>
              </w:rPr>
              <w:t xml:space="preserve">Most importantly, access to the production environment should be restricted to as few, trusted individuals as possible.  There should also be a separation of duties between staff that develop changes, and staff with write-access to the production environment.  </w:t>
            </w:r>
          </w:p>
          <w:p w:rsidR="009437E0" w:rsidRDefault="009437E0" w:rsidP="00125969">
            <w:pPr>
              <w:rPr>
                <w:rFonts w:ascii="Arial" w:hAnsi="Arial" w:cs="Arial"/>
              </w:rPr>
            </w:pPr>
          </w:p>
          <w:p w:rsidR="009437E0" w:rsidRPr="009437E0" w:rsidRDefault="009437E0" w:rsidP="00125969">
            <w:pPr>
              <w:rPr>
                <w:rFonts w:ascii="Arial" w:hAnsi="Arial" w:cs="Arial"/>
              </w:rPr>
            </w:pPr>
            <w:r w:rsidRPr="009437E0">
              <w:rPr>
                <w:rFonts w:ascii="Arial" w:hAnsi="Arial" w:cs="Arial"/>
              </w:rPr>
              <w:t xml:space="preserve">Each of these steps should be documented to </w:t>
            </w:r>
            <w:r>
              <w:rPr>
                <w:rFonts w:ascii="Arial" w:hAnsi="Arial" w:cs="Arial"/>
              </w:rPr>
              <w:t xml:space="preserve">ensure the process is consistently followed and to </w:t>
            </w:r>
            <w:r w:rsidRPr="009437E0">
              <w:rPr>
                <w:rFonts w:ascii="Arial" w:hAnsi="Arial" w:cs="Arial"/>
              </w:rPr>
              <w:t>maintain accountability for th</w:t>
            </w:r>
            <w:r>
              <w:rPr>
                <w:rFonts w:ascii="Arial" w:hAnsi="Arial" w:cs="Arial"/>
              </w:rPr>
              <w:t>o</w:t>
            </w:r>
            <w:r w:rsidRPr="009437E0">
              <w:rPr>
                <w:rFonts w:ascii="Arial" w:hAnsi="Arial" w:cs="Arial"/>
              </w:rPr>
              <w:t xml:space="preserve">se </w:t>
            </w:r>
            <w:r>
              <w:rPr>
                <w:rFonts w:ascii="Arial" w:hAnsi="Arial" w:cs="Arial"/>
              </w:rPr>
              <w:t xml:space="preserve">important </w:t>
            </w:r>
            <w:r w:rsidRPr="009437E0">
              <w:rPr>
                <w:rFonts w:ascii="Arial" w:hAnsi="Arial" w:cs="Arial"/>
              </w:rPr>
              <w:t xml:space="preserve">actions. </w:t>
            </w:r>
          </w:p>
          <w:p w:rsidR="009437E0" w:rsidRPr="009437E0" w:rsidRDefault="009437E0" w:rsidP="00125969">
            <w:pPr>
              <w:rPr>
                <w:rFonts w:ascii="Arial" w:hAnsi="Arial" w:cs="Arial"/>
              </w:rPr>
            </w:pPr>
          </w:p>
        </w:tc>
        <w:tc>
          <w:tcPr>
            <w:tcW w:w="3285" w:type="dxa"/>
            <w:tcBorders>
              <w:top w:val="single" w:sz="6" w:space="0" w:color="auto"/>
              <w:left w:val="single" w:sz="6" w:space="0" w:color="auto"/>
              <w:bottom w:val="single" w:sz="6" w:space="0" w:color="auto"/>
              <w:right w:val="single" w:sz="6" w:space="0" w:color="auto"/>
            </w:tcBorders>
          </w:tcPr>
          <w:p w:rsidR="009437E0" w:rsidRPr="009437E0" w:rsidRDefault="009437E0" w:rsidP="00125969">
            <w:pPr>
              <w:rPr>
                <w:rFonts w:ascii="Arial" w:hAnsi="Arial" w:cs="Arial"/>
              </w:rPr>
            </w:pPr>
            <w:r w:rsidRPr="009437E0">
              <w:rPr>
                <w:rFonts w:ascii="Arial" w:hAnsi="Arial" w:cs="Arial"/>
              </w:rPr>
              <w:t xml:space="preserve">Access to production should be limited to ensure that duties are appropriately segregated between development and deployment. </w:t>
            </w:r>
          </w:p>
          <w:p w:rsidR="009437E0" w:rsidRPr="009437E0" w:rsidRDefault="009437E0" w:rsidP="00125969">
            <w:pPr>
              <w:rPr>
                <w:rFonts w:ascii="Arial" w:hAnsi="Arial" w:cs="Arial"/>
              </w:rPr>
            </w:pPr>
          </w:p>
          <w:p w:rsidR="009437E0" w:rsidRPr="009437E0" w:rsidRDefault="009437E0" w:rsidP="00125969">
            <w:pPr>
              <w:rPr>
                <w:rFonts w:ascii="Arial" w:hAnsi="Arial" w:cs="Arial"/>
              </w:rPr>
            </w:pPr>
            <w:r w:rsidRPr="009437E0">
              <w:rPr>
                <w:rFonts w:ascii="Arial" w:hAnsi="Arial" w:cs="Arial"/>
              </w:rPr>
              <w:t>Require formal documentation for all steps of the SDLC.</w:t>
            </w:r>
          </w:p>
          <w:p w:rsidR="009437E0" w:rsidRPr="009437E0" w:rsidRDefault="009437E0" w:rsidP="00125969">
            <w:pPr>
              <w:rPr>
                <w:rFonts w:ascii="Arial" w:hAnsi="Arial" w:cs="Arial"/>
              </w:rPr>
            </w:pPr>
          </w:p>
          <w:p w:rsidR="009437E0" w:rsidRPr="009437E0" w:rsidRDefault="009437E0" w:rsidP="00125969">
            <w:pPr>
              <w:rPr>
                <w:rFonts w:ascii="Arial" w:hAnsi="Arial" w:cs="Arial"/>
              </w:rPr>
            </w:pPr>
            <w:r w:rsidRPr="009437E0">
              <w:rPr>
                <w:rFonts w:ascii="Arial" w:hAnsi="Arial" w:cs="Arial"/>
              </w:rPr>
              <w:t>The production environment should be monitored to help ensure that unauthorized changes are not performed.</w:t>
            </w:r>
          </w:p>
          <w:p w:rsidR="009437E0" w:rsidRPr="009437E0" w:rsidRDefault="009437E0" w:rsidP="00125969">
            <w:pPr>
              <w:rPr>
                <w:rFonts w:ascii="Arial" w:hAnsi="Arial" w:cs="Arial"/>
              </w:rPr>
            </w:pPr>
          </w:p>
        </w:tc>
        <w:tc>
          <w:tcPr>
            <w:tcW w:w="3285" w:type="dxa"/>
            <w:tcBorders>
              <w:top w:val="single" w:sz="6" w:space="0" w:color="auto"/>
              <w:left w:val="single" w:sz="6" w:space="0" w:color="auto"/>
              <w:bottom w:val="single" w:sz="6" w:space="0" w:color="auto"/>
              <w:right w:val="single" w:sz="6" w:space="0" w:color="auto"/>
            </w:tcBorders>
          </w:tcPr>
          <w:p w:rsidR="009437E0" w:rsidRDefault="009437E0" w:rsidP="007C7965">
            <w:pPr>
              <w:rPr>
                <w:rFonts w:ascii="Arial" w:hAnsi="Arial" w:cs="Arial"/>
              </w:rPr>
            </w:pPr>
          </w:p>
        </w:tc>
      </w:tr>
    </w:tbl>
    <w:p w:rsidR="00044050" w:rsidRDefault="00044050"/>
    <w:sectPr w:rsidR="00044050" w:rsidSect="00CE6602">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720" w:right="720" w:bottom="432" w:left="720" w:header="720" w:footer="2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FD4" w:rsidRDefault="00BC2FD4">
      <w:r>
        <w:separator/>
      </w:r>
    </w:p>
  </w:endnote>
  <w:endnote w:type="continuationSeparator" w:id="0">
    <w:p w:rsidR="00BC2FD4" w:rsidRDefault="00BC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917" w:rsidRDefault="007539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9FF" w:rsidRPr="000806A0" w:rsidRDefault="000806A0" w:rsidP="000806A0">
    <w:pPr>
      <w:pStyle w:val="Footer"/>
      <w:pBdr>
        <w:top w:val="single" w:sz="4" w:space="1" w:color="auto"/>
      </w:pBdr>
      <w:tabs>
        <w:tab w:val="clear" w:pos="4320"/>
        <w:tab w:val="clear" w:pos="8640"/>
        <w:tab w:val="center" w:pos="7200"/>
        <w:tab w:val="right" w:pos="14310"/>
      </w:tabs>
      <w:ind w:left="90" w:right="90"/>
      <w:rPr>
        <w:rFonts w:ascii="Arial" w:hAnsi="Arial" w:cs="Arial"/>
        <w:b/>
      </w:rPr>
    </w:pPr>
    <w:r w:rsidRPr="000806A0">
      <w:rPr>
        <w:rFonts w:ascii="Arial" w:hAnsi="Arial" w:cs="Arial"/>
      </w:rPr>
      <w:t xml:space="preserve">Copyright © </w:t>
    </w:r>
    <w:r w:rsidR="00753917">
      <w:rPr>
        <w:rFonts w:ascii="Arial" w:hAnsi="Arial" w:cs="Arial"/>
      </w:rPr>
      <w:t>Stephen R. Shofner</w:t>
    </w:r>
    <w:r w:rsidRPr="000806A0">
      <w:rPr>
        <w:rFonts w:ascii="Arial" w:hAnsi="Arial" w:cs="Arial"/>
        <w:b/>
      </w:rPr>
      <w:t xml:space="preserve"> </w:t>
    </w:r>
    <w:r w:rsidRPr="000806A0">
      <w:rPr>
        <w:rFonts w:ascii="Arial" w:hAnsi="Arial" w:cs="Arial"/>
        <w:b/>
      </w:rPr>
      <w:tab/>
    </w:r>
    <w:r>
      <w:rPr>
        <w:rFonts w:ascii="Arial" w:hAnsi="Arial" w:cs="Arial"/>
        <w:b/>
      </w:rPr>
      <w:t>Confidential</w:t>
    </w:r>
    <w:r w:rsidR="005E59FF" w:rsidRPr="000806A0">
      <w:rPr>
        <w:rFonts w:ascii="Arial" w:hAnsi="Arial" w:cs="Arial"/>
        <w:b/>
      </w:rPr>
      <w:t xml:space="preserve"> - For Internal Use Only</w:t>
    </w:r>
    <w:r w:rsidR="005E59FF" w:rsidRPr="000806A0">
      <w:rPr>
        <w:rFonts w:ascii="Arial" w:hAnsi="Arial" w:cs="Arial"/>
      </w:rPr>
      <w:tab/>
    </w:r>
    <w:r w:rsidR="005E59FF" w:rsidRPr="000806A0">
      <w:rPr>
        <w:rFonts w:ascii="Arial" w:hAnsi="Arial" w:cs="Arial"/>
        <w:b/>
      </w:rPr>
      <w:t>Internal Audit</w:t>
    </w:r>
  </w:p>
  <w:p w:rsidR="005E59FF" w:rsidRPr="00CE6602" w:rsidRDefault="005E59FF" w:rsidP="00FB0DA7">
    <w:pPr>
      <w:pStyle w:val="Footer"/>
      <w:tabs>
        <w:tab w:val="clear" w:pos="4320"/>
        <w:tab w:val="clear" w:pos="8640"/>
        <w:tab w:val="right" w:pos="14310"/>
        <w:tab w:val="right" w:pos="14400"/>
      </w:tabs>
      <w:ind w:left="90" w:right="90"/>
      <w:rPr>
        <w:rFonts w:ascii="Arial" w:hAnsi="Arial" w:cs="Arial"/>
      </w:rPr>
    </w:pPr>
    <w:bookmarkStart w:id="0" w:name="_GoBack"/>
    <w:bookmarkEnd w:id="0"/>
    <w:r w:rsidRPr="00CE6602">
      <w:rPr>
        <w:rFonts w:ascii="Arial" w:hAnsi="Arial" w:cs="Arial"/>
      </w:rPr>
      <w:tab/>
      <w:t xml:space="preserve">Page </w:t>
    </w:r>
    <w:r w:rsidRPr="00CE6602">
      <w:rPr>
        <w:rStyle w:val="PageNumber"/>
        <w:rFonts w:ascii="Arial" w:hAnsi="Arial" w:cs="Arial"/>
      </w:rPr>
      <w:fldChar w:fldCharType="begin"/>
    </w:r>
    <w:r w:rsidRPr="00CE6602">
      <w:rPr>
        <w:rStyle w:val="PageNumber"/>
        <w:rFonts w:ascii="Arial" w:hAnsi="Arial" w:cs="Arial"/>
      </w:rPr>
      <w:instrText xml:space="preserve"> PAGE </w:instrText>
    </w:r>
    <w:r w:rsidRPr="00CE6602">
      <w:rPr>
        <w:rStyle w:val="PageNumber"/>
        <w:rFonts w:ascii="Arial" w:hAnsi="Arial" w:cs="Arial"/>
      </w:rPr>
      <w:fldChar w:fldCharType="separate"/>
    </w:r>
    <w:r w:rsidR="00753917">
      <w:rPr>
        <w:rStyle w:val="PageNumber"/>
        <w:rFonts w:ascii="Arial" w:hAnsi="Arial" w:cs="Arial"/>
        <w:noProof/>
      </w:rPr>
      <w:t>1</w:t>
    </w:r>
    <w:r w:rsidRPr="00CE6602">
      <w:rPr>
        <w:rStyle w:val="PageNumber"/>
        <w:rFonts w:ascii="Arial" w:hAnsi="Arial" w:cs="Arial"/>
      </w:rPr>
      <w:fldChar w:fldCharType="end"/>
    </w:r>
    <w:r w:rsidRPr="00CE6602">
      <w:rPr>
        <w:rStyle w:val="PageNumber"/>
        <w:rFonts w:ascii="Arial" w:hAnsi="Arial" w:cs="Arial"/>
      </w:rPr>
      <w:t xml:space="preserve"> of </w:t>
    </w:r>
    <w:r w:rsidRPr="00CE6602">
      <w:rPr>
        <w:rStyle w:val="PageNumber"/>
        <w:rFonts w:ascii="Arial" w:hAnsi="Arial" w:cs="Arial"/>
      </w:rPr>
      <w:fldChar w:fldCharType="begin"/>
    </w:r>
    <w:r w:rsidRPr="00CE6602">
      <w:rPr>
        <w:rStyle w:val="PageNumber"/>
        <w:rFonts w:ascii="Arial" w:hAnsi="Arial" w:cs="Arial"/>
      </w:rPr>
      <w:instrText xml:space="preserve"> NUMPAGES  \* MERGEFORMAT </w:instrText>
    </w:r>
    <w:r w:rsidRPr="00CE6602">
      <w:rPr>
        <w:rStyle w:val="PageNumber"/>
        <w:rFonts w:ascii="Arial" w:hAnsi="Arial" w:cs="Arial"/>
      </w:rPr>
      <w:fldChar w:fldCharType="separate"/>
    </w:r>
    <w:r w:rsidR="00753917">
      <w:rPr>
        <w:rStyle w:val="PageNumber"/>
        <w:rFonts w:ascii="Arial" w:hAnsi="Arial" w:cs="Arial"/>
        <w:noProof/>
      </w:rPr>
      <w:t>3</w:t>
    </w:r>
    <w:r w:rsidRPr="00CE6602">
      <w:rPr>
        <w:rStyle w:val="PageNumbe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917" w:rsidRDefault="007539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FD4" w:rsidRDefault="00BC2FD4">
      <w:r>
        <w:separator/>
      </w:r>
    </w:p>
  </w:footnote>
  <w:footnote w:type="continuationSeparator" w:id="0">
    <w:p w:rsidR="00BC2FD4" w:rsidRDefault="00BC2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9FF" w:rsidRDefault="005E59FF">
    <w:pPr>
      <w:pStyle w:val="Header"/>
      <w:framePr w:w="576" w:wrap="around" w:vAnchor="page" w:hAnchor="page" w:x="14545" w:y="721"/>
      <w:jc w:val="right"/>
    </w:pPr>
    <w:r>
      <w:fldChar w:fldCharType="begin"/>
    </w:r>
    <w:r>
      <w:instrText xml:space="preserve">PAGE  </w:instrText>
    </w:r>
    <w:r>
      <w:fldChar w:fldCharType="separate"/>
    </w:r>
    <w:r>
      <w:rPr>
        <w:noProof/>
      </w:rPr>
      <w:t>8</w:t>
    </w:r>
    <w:r>
      <w:fldChar w:fldCharType="end"/>
    </w:r>
  </w:p>
  <w:p w:rsidR="005E59FF" w:rsidRDefault="005E59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9FF" w:rsidRPr="00F47BF8" w:rsidRDefault="00F47BF8" w:rsidP="00CE6602">
    <w:pPr>
      <w:pStyle w:val="Header"/>
      <w:tabs>
        <w:tab w:val="clear" w:pos="8640"/>
        <w:tab w:val="right" w:pos="14399"/>
      </w:tabs>
      <w:rPr>
        <w:rFonts w:ascii="Arial" w:hAnsi="Arial" w:cs="Arial"/>
        <w:b/>
        <w:sz w:val="22"/>
      </w:rPr>
    </w:pPr>
    <w:r w:rsidRPr="00F47BF8">
      <w:rPr>
        <w:rFonts w:ascii="Arial" w:hAnsi="Arial" w:cs="Arial"/>
        <w:b/>
        <w:sz w:val="24"/>
      </w:rPr>
      <w:t>Widget World, Inc.</w:t>
    </w:r>
    <w:r w:rsidR="005E59FF" w:rsidRPr="00F47BF8">
      <w:rPr>
        <w:rFonts w:ascii="Arial" w:hAnsi="Arial" w:cs="Arial"/>
        <w:b/>
        <w:sz w:val="22"/>
      </w:rPr>
      <w:tab/>
    </w:r>
    <w:r w:rsidR="005E59FF" w:rsidRPr="00F47BF8">
      <w:rPr>
        <w:rFonts w:ascii="Arial" w:hAnsi="Arial" w:cs="Arial"/>
        <w:b/>
        <w:sz w:val="22"/>
      </w:rPr>
      <w:tab/>
    </w:r>
    <w:r w:rsidRPr="00F47BF8">
      <w:rPr>
        <w:rFonts w:ascii="Arial" w:hAnsi="Arial" w:cs="Arial"/>
        <w:b/>
        <w:sz w:val="22"/>
      </w:rPr>
      <w:t>IT9</w:t>
    </w:r>
    <w:r w:rsidR="005E59FF" w:rsidRPr="00F47BF8">
      <w:rPr>
        <w:rFonts w:ascii="Arial" w:hAnsi="Arial" w:cs="Arial"/>
        <w:b/>
        <w:sz w:val="22"/>
      </w:rPr>
      <w:t>00</w:t>
    </w:r>
  </w:p>
  <w:p w:rsidR="005E59FF" w:rsidRPr="00F47BF8" w:rsidRDefault="00F47BF8" w:rsidP="00CE6602">
    <w:pPr>
      <w:pStyle w:val="Header"/>
      <w:tabs>
        <w:tab w:val="clear" w:pos="8640"/>
        <w:tab w:val="right" w:pos="14399"/>
      </w:tabs>
      <w:rPr>
        <w:rFonts w:ascii="Arial" w:hAnsi="Arial" w:cs="Arial"/>
        <w:b/>
      </w:rPr>
    </w:pPr>
    <w:r w:rsidRPr="00F47BF8">
      <w:rPr>
        <w:rFonts w:ascii="Arial" w:hAnsi="Arial" w:cs="Arial"/>
        <w:b/>
      </w:rPr>
      <w:t>IT General Controls Evaluation</w:t>
    </w:r>
  </w:p>
  <w:p w:rsidR="005E59FF" w:rsidRPr="00F47BF8" w:rsidRDefault="000806A0" w:rsidP="000806A0">
    <w:pPr>
      <w:pStyle w:val="Header"/>
      <w:pBdr>
        <w:bottom w:val="single" w:sz="4" w:space="1" w:color="auto"/>
      </w:pBdr>
      <w:tabs>
        <w:tab w:val="clear" w:pos="4320"/>
        <w:tab w:val="clear" w:pos="8640"/>
        <w:tab w:val="left" w:pos="1125"/>
      </w:tabs>
      <w:rPr>
        <w:rFonts w:ascii="Arial" w:hAnsi="Arial" w:cs="Arial"/>
        <w:b/>
      </w:rPr>
    </w:pPr>
    <w:r>
      <w:rPr>
        <w:rFonts w:ascii="Arial" w:hAnsi="Arial" w:cs="Arial"/>
        <w:b/>
      </w:rPr>
      <w:t>FY2011</w:t>
    </w:r>
  </w:p>
  <w:p w:rsidR="005E59FF" w:rsidRPr="00CE6602" w:rsidRDefault="005E59FF" w:rsidP="00CE6602">
    <w:pPr>
      <w:pStyle w:val="Header"/>
      <w:tabs>
        <w:tab w:val="clear" w:pos="8640"/>
        <w:tab w:val="right" w:pos="14399"/>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917" w:rsidRDefault="007539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0" w:legacyIndent="504"/>
      <w:lvlJc w:val="left"/>
      <w:pPr>
        <w:ind w:left="504" w:hanging="504"/>
      </w:pPr>
    </w:lvl>
    <w:lvl w:ilvl="1">
      <w:start w:val="1"/>
      <w:numFmt w:val="decimal"/>
      <w:pStyle w:val="Heading2"/>
      <w:lvlText w:val="%1.%2"/>
      <w:legacy w:legacy="1" w:legacySpace="0" w:legacyIndent="504"/>
      <w:lvlJc w:val="left"/>
      <w:pPr>
        <w:ind w:left="504" w:hanging="504"/>
      </w:pPr>
    </w:lvl>
    <w:lvl w:ilvl="2">
      <w:start w:val="1"/>
      <w:numFmt w:val="decimal"/>
      <w:pStyle w:val="Heading3"/>
      <w:lvlText w:val="%1.%2.%3"/>
      <w:legacy w:legacy="1" w:legacySpace="0" w:legacyIndent="504"/>
      <w:lvlJc w:val="left"/>
      <w:pPr>
        <w:ind w:left="864" w:hanging="504"/>
      </w:pPr>
    </w:lvl>
    <w:lvl w:ilvl="3">
      <w:start w:val="1"/>
      <w:numFmt w:val="decimal"/>
      <w:pStyle w:val="Heading4"/>
      <w:lvlText w:val="%1.%2.%3.%4"/>
      <w:legacy w:legacy="1" w:legacySpace="0" w:legacyIndent="504"/>
      <w:lvlJc w:val="left"/>
      <w:pPr>
        <w:ind w:left="1224" w:hanging="504"/>
      </w:pPr>
    </w:lvl>
    <w:lvl w:ilvl="4">
      <w:start w:val="1"/>
      <w:numFmt w:val="decimal"/>
      <w:pStyle w:val="Heading5"/>
      <w:lvlText w:val="%1.%2.%3.%4.%5"/>
      <w:legacy w:legacy="1" w:legacySpace="0" w:legacyIndent="504"/>
      <w:lvlJc w:val="left"/>
      <w:pPr>
        <w:ind w:left="1584" w:hanging="504"/>
      </w:pPr>
    </w:lvl>
    <w:lvl w:ilvl="5">
      <w:start w:val="1"/>
      <w:numFmt w:val="decimal"/>
      <w:pStyle w:val="Heading6"/>
      <w:lvlText w:val="%1.%2.%3.%4.%5.%6"/>
      <w:legacy w:legacy="1" w:legacySpace="0" w:legacyIndent="504"/>
      <w:lvlJc w:val="left"/>
      <w:pPr>
        <w:ind w:left="1944" w:hanging="504"/>
      </w:pPr>
    </w:lvl>
    <w:lvl w:ilvl="6">
      <w:start w:val="1"/>
      <w:numFmt w:val="decimal"/>
      <w:pStyle w:val="Heading7"/>
      <w:lvlText w:val="%1.%2.%3.%4.%5.%6.%7"/>
      <w:legacy w:legacy="1" w:legacySpace="0" w:legacyIndent="504"/>
      <w:lvlJc w:val="left"/>
      <w:pPr>
        <w:ind w:left="3528" w:hanging="504"/>
      </w:pPr>
    </w:lvl>
    <w:lvl w:ilvl="7">
      <w:start w:val="1"/>
      <w:numFmt w:val="decimal"/>
      <w:pStyle w:val="Heading8"/>
      <w:lvlText w:val="%1.%2.%3.%4.%5.%6.%7.%8"/>
      <w:legacy w:legacy="1" w:legacySpace="0" w:legacyIndent="504"/>
      <w:lvlJc w:val="left"/>
      <w:pPr>
        <w:ind w:left="4032" w:hanging="504"/>
      </w:pPr>
    </w:lvl>
    <w:lvl w:ilvl="8">
      <w:start w:val="1"/>
      <w:numFmt w:val="decimal"/>
      <w:pStyle w:val="Heading9"/>
      <w:lvlText w:val="%1.%2.%3.%4.%5.%6.%7.%8.%9"/>
      <w:legacy w:legacy="1" w:legacySpace="0" w:legacyIndent="504"/>
      <w:lvlJc w:val="left"/>
      <w:pPr>
        <w:ind w:left="4536" w:hanging="504"/>
      </w:pPr>
    </w:lvl>
  </w:abstractNum>
  <w:abstractNum w:abstractNumId="1">
    <w:nsid w:val="33E51650"/>
    <w:multiLevelType w:val="singleLevel"/>
    <w:tmpl w:val="0409000F"/>
    <w:lvl w:ilvl="0">
      <w:start w:val="1"/>
      <w:numFmt w:val="decimal"/>
      <w:lvlText w:val="%1."/>
      <w:lvlJc w:val="left"/>
      <w:pPr>
        <w:tabs>
          <w:tab w:val="num" w:pos="360"/>
        </w:tabs>
        <w:ind w:left="360" w:hanging="360"/>
      </w:pPr>
    </w:lvl>
  </w:abstractNum>
  <w:abstractNum w:abstractNumId="2">
    <w:nsid w:val="3C821753"/>
    <w:multiLevelType w:val="hybridMultilevel"/>
    <w:tmpl w:val="06BEDF92"/>
    <w:lvl w:ilvl="0" w:tplc="887211C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FB115F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602"/>
    <w:rsid w:val="00044050"/>
    <w:rsid w:val="0005799A"/>
    <w:rsid w:val="000806A0"/>
    <w:rsid w:val="000B3A77"/>
    <w:rsid w:val="000D7911"/>
    <w:rsid w:val="000F4262"/>
    <w:rsid w:val="00125969"/>
    <w:rsid w:val="00191B88"/>
    <w:rsid w:val="001E169A"/>
    <w:rsid w:val="00221212"/>
    <w:rsid w:val="002C7712"/>
    <w:rsid w:val="00326CDE"/>
    <w:rsid w:val="00377E76"/>
    <w:rsid w:val="00404B8F"/>
    <w:rsid w:val="004F6040"/>
    <w:rsid w:val="005821F0"/>
    <w:rsid w:val="005E59FF"/>
    <w:rsid w:val="00646A2A"/>
    <w:rsid w:val="00667B02"/>
    <w:rsid w:val="00676724"/>
    <w:rsid w:val="00677A8E"/>
    <w:rsid w:val="007378DD"/>
    <w:rsid w:val="00753917"/>
    <w:rsid w:val="00795C3B"/>
    <w:rsid w:val="007B02AE"/>
    <w:rsid w:val="007C7965"/>
    <w:rsid w:val="007E4553"/>
    <w:rsid w:val="007F4CCC"/>
    <w:rsid w:val="0085360E"/>
    <w:rsid w:val="00900EB9"/>
    <w:rsid w:val="009437E0"/>
    <w:rsid w:val="00963C05"/>
    <w:rsid w:val="0097696E"/>
    <w:rsid w:val="00A03CB0"/>
    <w:rsid w:val="00A526CC"/>
    <w:rsid w:val="00A60B1D"/>
    <w:rsid w:val="00AA49C3"/>
    <w:rsid w:val="00B12888"/>
    <w:rsid w:val="00B912B4"/>
    <w:rsid w:val="00BB7EB8"/>
    <w:rsid w:val="00BC2FD4"/>
    <w:rsid w:val="00C13839"/>
    <w:rsid w:val="00CE1903"/>
    <w:rsid w:val="00CE6602"/>
    <w:rsid w:val="00DC213A"/>
    <w:rsid w:val="00E21525"/>
    <w:rsid w:val="00ED2B26"/>
    <w:rsid w:val="00F30A54"/>
    <w:rsid w:val="00F47BF8"/>
    <w:rsid w:val="00F531A0"/>
    <w:rsid w:val="00F71253"/>
    <w:rsid w:val="00FB0315"/>
    <w:rsid w:val="00FB0DA7"/>
    <w:rsid w:val="00FD0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602"/>
  </w:style>
  <w:style w:type="paragraph" w:styleId="Heading1">
    <w:name w:val="heading 1"/>
    <w:basedOn w:val="Normal"/>
    <w:next w:val="Normal"/>
    <w:qFormat/>
    <w:rsid w:val="00CE6602"/>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CE6602"/>
    <w:pPr>
      <w:widowControl w:val="0"/>
      <w:numPr>
        <w:ilvl w:val="1"/>
        <w:numId w:val="1"/>
      </w:numPr>
      <w:spacing w:before="60" w:after="60"/>
      <w:outlineLvl w:val="1"/>
    </w:pPr>
    <w:rPr>
      <w:rFonts w:ascii="Arial" w:hAnsi="Arial"/>
      <w:b/>
    </w:rPr>
  </w:style>
  <w:style w:type="paragraph" w:styleId="Heading3">
    <w:name w:val="heading 3"/>
    <w:basedOn w:val="Normal"/>
    <w:next w:val="Normal"/>
    <w:qFormat/>
    <w:rsid w:val="00CE6602"/>
    <w:pPr>
      <w:widowControl w:val="0"/>
      <w:numPr>
        <w:ilvl w:val="2"/>
        <w:numId w:val="1"/>
      </w:numPr>
      <w:spacing w:before="60" w:after="60"/>
      <w:outlineLvl w:val="2"/>
    </w:pPr>
    <w:rPr>
      <w:rFonts w:ascii="Arial" w:hAnsi="Arial"/>
    </w:rPr>
  </w:style>
  <w:style w:type="paragraph" w:styleId="Heading4">
    <w:name w:val="heading 4"/>
    <w:basedOn w:val="Normal"/>
    <w:next w:val="Normal"/>
    <w:qFormat/>
    <w:rsid w:val="00CE6602"/>
    <w:pPr>
      <w:keepNext/>
      <w:numPr>
        <w:ilvl w:val="3"/>
        <w:numId w:val="1"/>
      </w:numPr>
      <w:spacing w:after="60"/>
      <w:outlineLvl w:val="3"/>
    </w:pPr>
    <w:rPr>
      <w:rFonts w:ascii="Arial" w:hAnsi="Arial"/>
    </w:rPr>
  </w:style>
  <w:style w:type="paragraph" w:styleId="Heading5">
    <w:name w:val="heading 5"/>
    <w:basedOn w:val="Normal"/>
    <w:next w:val="Normal"/>
    <w:qFormat/>
    <w:rsid w:val="00CE6602"/>
    <w:pPr>
      <w:numPr>
        <w:ilvl w:val="4"/>
        <w:numId w:val="1"/>
      </w:numPr>
      <w:spacing w:after="60"/>
      <w:outlineLvl w:val="4"/>
    </w:pPr>
    <w:rPr>
      <w:rFonts w:ascii="Arial" w:hAnsi="Arial"/>
    </w:rPr>
  </w:style>
  <w:style w:type="paragraph" w:styleId="Heading6">
    <w:name w:val="heading 6"/>
    <w:basedOn w:val="Normal"/>
    <w:next w:val="Normal"/>
    <w:qFormat/>
    <w:rsid w:val="00CE6602"/>
    <w:pPr>
      <w:numPr>
        <w:ilvl w:val="5"/>
        <w:numId w:val="1"/>
      </w:numPr>
      <w:spacing w:after="60"/>
      <w:outlineLvl w:val="5"/>
    </w:pPr>
    <w:rPr>
      <w:rFonts w:ascii="Arial" w:hAnsi="Arial"/>
    </w:rPr>
  </w:style>
  <w:style w:type="paragraph" w:styleId="Heading7">
    <w:name w:val="heading 7"/>
    <w:basedOn w:val="Normal"/>
    <w:next w:val="Normal"/>
    <w:qFormat/>
    <w:rsid w:val="00CE6602"/>
    <w:pPr>
      <w:numPr>
        <w:ilvl w:val="6"/>
        <w:numId w:val="1"/>
      </w:numPr>
      <w:spacing w:before="240" w:after="60"/>
      <w:outlineLvl w:val="6"/>
    </w:pPr>
    <w:rPr>
      <w:rFonts w:ascii="Arial" w:hAnsi="Arial"/>
    </w:rPr>
  </w:style>
  <w:style w:type="paragraph" w:styleId="Heading8">
    <w:name w:val="heading 8"/>
    <w:basedOn w:val="Normal"/>
    <w:next w:val="Normal"/>
    <w:qFormat/>
    <w:rsid w:val="00CE6602"/>
    <w:pPr>
      <w:numPr>
        <w:ilvl w:val="7"/>
        <w:numId w:val="1"/>
      </w:numPr>
      <w:spacing w:before="240" w:after="60"/>
      <w:outlineLvl w:val="7"/>
    </w:pPr>
    <w:rPr>
      <w:rFonts w:ascii="Arial" w:hAnsi="Arial"/>
      <w:i/>
    </w:rPr>
  </w:style>
  <w:style w:type="paragraph" w:styleId="Heading9">
    <w:name w:val="heading 9"/>
    <w:basedOn w:val="Normal"/>
    <w:next w:val="Normal"/>
    <w:qFormat/>
    <w:rsid w:val="00CE6602"/>
    <w:pPr>
      <w:numPr>
        <w:ilvl w:val="8"/>
        <w:numId w:val="1"/>
      </w:num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CE6602"/>
    <w:pPr>
      <w:tabs>
        <w:tab w:val="center" w:pos="4320"/>
        <w:tab w:val="right" w:pos="8640"/>
      </w:tabs>
    </w:pPr>
  </w:style>
  <w:style w:type="paragraph" w:styleId="Header">
    <w:name w:val="header"/>
    <w:basedOn w:val="Normal"/>
    <w:rsid w:val="00CE6602"/>
    <w:pPr>
      <w:tabs>
        <w:tab w:val="center" w:pos="4320"/>
        <w:tab w:val="right" w:pos="8640"/>
      </w:tabs>
    </w:pPr>
  </w:style>
  <w:style w:type="character" w:styleId="PageNumber">
    <w:name w:val="page number"/>
    <w:basedOn w:val="DefaultParagraphFont"/>
    <w:rsid w:val="00CE6602"/>
  </w:style>
  <w:style w:type="paragraph" w:styleId="BodyText">
    <w:name w:val="Body Text"/>
    <w:basedOn w:val="Normal"/>
    <w:rsid w:val="00CE6602"/>
    <w:pPr>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602"/>
  </w:style>
  <w:style w:type="paragraph" w:styleId="Heading1">
    <w:name w:val="heading 1"/>
    <w:basedOn w:val="Normal"/>
    <w:next w:val="Normal"/>
    <w:qFormat/>
    <w:rsid w:val="00CE6602"/>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CE6602"/>
    <w:pPr>
      <w:widowControl w:val="0"/>
      <w:numPr>
        <w:ilvl w:val="1"/>
        <w:numId w:val="1"/>
      </w:numPr>
      <w:spacing w:before="60" w:after="60"/>
      <w:outlineLvl w:val="1"/>
    </w:pPr>
    <w:rPr>
      <w:rFonts w:ascii="Arial" w:hAnsi="Arial"/>
      <w:b/>
    </w:rPr>
  </w:style>
  <w:style w:type="paragraph" w:styleId="Heading3">
    <w:name w:val="heading 3"/>
    <w:basedOn w:val="Normal"/>
    <w:next w:val="Normal"/>
    <w:qFormat/>
    <w:rsid w:val="00CE6602"/>
    <w:pPr>
      <w:widowControl w:val="0"/>
      <w:numPr>
        <w:ilvl w:val="2"/>
        <w:numId w:val="1"/>
      </w:numPr>
      <w:spacing w:before="60" w:after="60"/>
      <w:outlineLvl w:val="2"/>
    </w:pPr>
    <w:rPr>
      <w:rFonts w:ascii="Arial" w:hAnsi="Arial"/>
    </w:rPr>
  </w:style>
  <w:style w:type="paragraph" w:styleId="Heading4">
    <w:name w:val="heading 4"/>
    <w:basedOn w:val="Normal"/>
    <w:next w:val="Normal"/>
    <w:qFormat/>
    <w:rsid w:val="00CE6602"/>
    <w:pPr>
      <w:keepNext/>
      <w:numPr>
        <w:ilvl w:val="3"/>
        <w:numId w:val="1"/>
      </w:numPr>
      <w:spacing w:after="60"/>
      <w:outlineLvl w:val="3"/>
    </w:pPr>
    <w:rPr>
      <w:rFonts w:ascii="Arial" w:hAnsi="Arial"/>
    </w:rPr>
  </w:style>
  <w:style w:type="paragraph" w:styleId="Heading5">
    <w:name w:val="heading 5"/>
    <w:basedOn w:val="Normal"/>
    <w:next w:val="Normal"/>
    <w:qFormat/>
    <w:rsid w:val="00CE6602"/>
    <w:pPr>
      <w:numPr>
        <w:ilvl w:val="4"/>
        <w:numId w:val="1"/>
      </w:numPr>
      <w:spacing w:after="60"/>
      <w:outlineLvl w:val="4"/>
    </w:pPr>
    <w:rPr>
      <w:rFonts w:ascii="Arial" w:hAnsi="Arial"/>
    </w:rPr>
  </w:style>
  <w:style w:type="paragraph" w:styleId="Heading6">
    <w:name w:val="heading 6"/>
    <w:basedOn w:val="Normal"/>
    <w:next w:val="Normal"/>
    <w:qFormat/>
    <w:rsid w:val="00CE6602"/>
    <w:pPr>
      <w:numPr>
        <w:ilvl w:val="5"/>
        <w:numId w:val="1"/>
      </w:numPr>
      <w:spacing w:after="60"/>
      <w:outlineLvl w:val="5"/>
    </w:pPr>
    <w:rPr>
      <w:rFonts w:ascii="Arial" w:hAnsi="Arial"/>
    </w:rPr>
  </w:style>
  <w:style w:type="paragraph" w:styleId="Heading7">
    <w:name w:val="heading 7"/>
    <w:basedOn w:val="Normal"/>
    <w:next w:val="Normal"/>
    <w:qFormat/>
    <w:rsid w:val="00CE6602"/>
    <w:pPr>
      <w:numPr>
        <w:ilvl w:val="6"/>
        <w:numId w:val="1"/>
      </w:numPr>
      <w:spacing w:before="240" w:after="60"/>
      <w:outlineLvl w:val="6"/>
    </w:pPr>
    <w:rPr>
      <w:rFonts w:ascii="Arial" w:hAnsi="Arial"/>
    </w:rPr>
  </w:style>
  <w:style w:type="paragraph" w:styleId="Heading8">
    <w:name w:val="heading 8"/>
    <w:basedOn w:val="Normal"/>
    <w:next w:val="Normal"/>
    <w:qFormat/>
    <w:rsid w:val="00CE6602"/>
    <w:pPr>
      <w:numPr>
        <w:ilvl w:val="7"/>
        <w:numId w:val="1"/>
      </w:numPr>
      <w:spacing w:before="240" w:after="60"/>
      <w:outlineLvl w:val="7"/>
    </w:pPr>
    <w:rPr>
      <w:rFonts w:ascii="Arial" w:hAnsi="Arial"/>
      <w:i/>
    </w:rPr>
  </w:style>
  <w:style w:type="paragraph" w:styleId="Heading9">
    <w:name w:val="heading 9"/>
    <w:basedOn w:val="Normal"/>
    <w:next w:val="Normal"/>
    <w:qFormat/>
    <w:rsid w:val="00CE6602"/>
    <w:pPr>
      <w:numPr>
        <w:ilvl w:val="8"/>
        <w:numId w:val="1"/>
      </w:num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CE6602"/>
    <w:pPr>
      <w:tabs>
        <w:tab w:val="center" w:pos="4320"/>
        <w:tab w:val="right" w:pos="8640"/>
      </w:tabs>
    </w:pPr>
  </w:style>
  <w:style w:type="paragraph" w:styleId="Header">
    <w:name w:val="header"/>
    <w:basedOn w:val="Normal"/>
    <w:rsid w:val="00CE6602"/>
    <w:pPr>
      <w:tabs>
        <w:tab w:val="center" w:pos="4320"/>
        <w:tab w:val="right" w:pos="8640"/>
      </w:tabs>
    </w:pPr>
  </w:style>
  <w:style w:type="character" w:styleId="PageNumber">
    <w:name w:val="page number"/>
    <w:basedOn w:val="DefaultParagraphFont"/>
    <w:rsid w:val="00CE6602"/>
  </w:style>
  <w:style w:type="paragraph" w:styleId="BodyText">
    <w:name w:val="Body Text"/>
    <w:basedOn w:val="Normal"/>
    <w:rsid w:val="00CE6602"/>
    <w:pPr>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78000-2B25-41B7-8DE1-FB8319C5A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3491</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Generic IT General Controls Audit Program</vt:lpstr>
    </vt:vector>
  </TitlesOfParts>
  <Company>Moss Adams LLP</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IT General Controls Audit Program</dc:title>
  <dc:creator>Stephen R. Shofner</dc:creator>
  <cp:lastModifiedBy>BethYockeyJones</cp:lastModifiedBy>
  <cp:revision>2</cp:revision>
  <dcterms:created xsi:type="dcterms:W3CDTF">2012-09-05T17:21:00Z</dcterms:created>
  <dcterms:modified xsi:type="dcterms:W3CDTF">2012-09-05T17:21:00Z</dcterms:modified>
</cp:coreProperties>
</file>